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95" w:rsidRDefault="00A43495" w:rsidP="0047127E">
      <w:pPr>
        <w:ind w:left="5664" w:firstLine="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95" w:rsidRPr="00A43495" w:rsidRDefault="00A43495" w:rsidP="00A43495">
      <w:pPr>
        <w:ind w:left="5664" w:firstLine="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Kętrzyn 13 maja 2022 r.</w:t>
      </w:r>
    </w:p>
    <w:p w:rsidR="00A43495" w:rsidRDefault="00A43495" w:rsidP="0047127E">
      <w:pPr>
        <w:ind w:left="5664" w:firstLine="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95" w:rsidRDefault="00A43495" w:rsidP="0047127E">
      <w:pPr>
        <w:ind w:left="5664" w:firstLine="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D07" w:rsidRDefault="00646D07" w:rsidP="0047127E">
      <w:pPr>
        <w:ind w:left="5664" w:firstLine="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D07" w:rsidRDefault="0047127E" w:rsidP="00646D07">
      <w:pPr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D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Do wszystkich </w:t>
      </w:r>
      <w:r w:rsidR="00646D07">
        <w:rPr>
          <w:rFonts w:ascii="Times New Roman" w:hAnsi="Times New Roman" w:cs="Times New Roman"/>
          <w:b/>
          <w:color w:val="000000"/>
          <w:sz w:val="28"/>
          <w:szCs w:val="28"/>
        </w:rPr>
        <w:t>uczestników</w:t>
      </w:r>
    </w:p>
    <w:p w:rsidR="0047127E" w:rsidRPr="00646D07" w:rsidRDefault="0047127E" w:rsidP="00646D07">
      <w:pPr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D07">
        <w:rPr>
          <w:rFonts w:ascii="Times New Roman" w:hAnsi="Times New Roman" w:cs="Times New Roman"/>
          <w:b/>
          <w:color w:val="000000"/>
          <w:sz w:val="28"/>
          <w:szCs w:val="28"/>
        </w:rPr>
        <w:t>postępowania ZF.3050.1.2022</w:t>
      </w:r>
    </w:p>
    <w:p w:rsidR="00646D07" w:rsidRDefault="00646D07" w:rsidP="00663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127E" w:rsidRDefault="0047127E" w:rsidP="00663E0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ZF.3050.1.2022</w:t>
      </w:r>
    </w:p>
    <w:p w:rsidR="0047127E" w:rsidRDefault="0047127E" w:rsidP="00663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127E" w:rsidRDefault="0047127E" w:rsidP="00663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6D07" w:rsidRDefault="00646D07" w:rsidP="00663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63E0C" w:rsidRPr="00A43495" w:rsidRDefault="00663E0C" w:rsidP="0047127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4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odpowiedzi na zapytanie złożone w ogłoszonym postępowaniu </w:t>
      </w:r>
      <w:r w:rsidR="00646D07">
        <w:rPr>
          <w:rFonts w:ascii="Times New Roman" w:hAnsi="Times New Roman" w:cs="Times New Roman"/>
          <w:b/>
          <w:color w:val="000000"/>
          <w:sz w:val="24"/>
          <w:szCs w:val="24"/>
        </w:rPr>
        <w:t>ofertowym</w:t>
      </w:r>
      <w:r w:rsidRPr="00A434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</w:t>
      </w:r>
      <w:r w:rsidRPr="00A434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„Świadczenie kompleksowej obsługi bankowej Gminy Miejskiej Kętrzyn oraz jednostek podległych” </w:t>
      </w:r>
      <w:r w:rsidRPr="00A43495">
        <w:rPr>
          <w:rFonts w:ascii="Times New Roman" w:hAnsi="Times New Roman" w:cs="Times New Roman"/>
          <w:b/>
          <w:color w:val="000000"/>
          <w:sz w:val="24"/>
          <w:szCs w:val="24"/>
        </w:rPr>
        <w:t>w załączeniu przedstawiam odpowiedzi</w:t>
      </w:r>
      <w:r w:rsidRPr="00A4349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63E0C" w:rsidRDefault="00663E0C" w:rsidP="00663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6D07" w:rsidRPr="00663E0C" w:rsidRDefault="00646D07" w:rsidP="00663E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63E0C" w:rsidRPr="00663E0C" w:rsidRDefault="00663E0C" w:rsidP="00663E0C">
      <w:pPr>
        <w:pBdr>
          <w:bottom w:val="single" w:sz="4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63E0C">
        <w:rPr>
          <w:rFonts w:ascii="Times New Roman" w:hAnsi="Times New Roman" w:cs="Times New Roman"/>
          <w:color w:val="000000"/>
          <w:sz w:val="24"/>
          <w:szCs w:val="24"/>
        </w:rPr>
        <w:t>TREŚĆ ZŁOŻONEGO ZAPYTANIA:</w:t>
      </w:r>
    </w:p>
    <w:p w:rsidR="00663E0C" w:rsidRPr="00663E0C" w:rsidRDefault="00663E0C" w:rsidP="00663E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3E0C">
        <w:rPr>
          <w:rFonts w:ascii="Times New Roman" w:eastAsia="Times New Roman" w:hAnsi="Times New Roman" w:cs="Times New Roman"/>
          <w:sz w:val="24"/>
          <w:szCs w:val="24"/>
        </w:rPr>
        <w:t xml:space="preserve">Prosimy o podanie: </w:t>
      </w:r>
    </w:p>
    <w:p w:rsidR="00663E0C" w:rsidRPr="00663E0C" w:rsidRDefault="00663E0C" w:rsidP="00663E0C">
      <w:pPr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3E0C">
        <w:rPr>
          <w:rFonts w:ascii="Times New Roman" w:hAnsi="Times New Roman" w:cs="Times New Roman"/>
          <w:sz w:val="24"/>
          <w:szCs w:val="24"/>
        </w:rPr>
        <w:t>Ile wynosi przewidywane średniomiesięczne saldo środków pieniężnych na rachunkach Gminy oraz dodatkowo na rachunkach jednostek organizacyjnych?</w:t>
      </w:r>
    </w:p>
    <w:p w:rsidR="00663E0C" w:rsidRPr="00663E0C" w:rsidRDefault="00663E0C" w:rsidP="00663E0C">
      <w:pPr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3E0C">
        <w:rPr>
          <w:rFonts w:ascii="Times New Roman" w:hAnsi="Times New Roman" w:cs="Times New Roman"/>
          <w:sz w:val="24"/>
          <w:szCs w:val="24"/>
        </w:rPr>
        <w:t>W jakich walutach prowadzone będą rachunki walutowe?</w:t>
      </w:r>
    </w:p>
    <w:p w:rsidR="00663E0C" w:rsidRPr="00663E0C" w:rsidRDefault="00663E0C" w:rsidP="00663E0C">
      <w:pPr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3E0C">
        <w:rPr>
          <w:rFonts w:ascii="Times New Roman" w:hAnsi="Times New Roman" w:cs="Times New Roman"/>
          <w:sz w:val="24"/>
          <w:szCs w:val="24"/>
        </w:rPr>
        <w:t>Jaka jest przewidywana liczba rachunków bankowych Gminy i jednostek organizacyjnych?</w:t>
      </w:r>
    </w:p>
    <w:p w:rsidR="00663E0C" w:rsidRPr="00663E0C" w:rsidRDefault="00663E0C" w:rsidP="00663E0C">
      <w:pPr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3E0C">
        <w:rPr>
          <w:rFonts w:ascii="Times New Roman" w:hAnsi="Times New Roman" w:cs="Times New Roman"/>
          <w:sz w:val="24"/>
          <w:szCs w:val="24"/>
        </w:rPr>
        <w:t>Jaka jest przewidywana średniomiesięczna liczba przelewów bankowych realizowanych przez Gminę oraz jednostki organizacyjne w podziale na przelewy wewnętrzne (realizowane w ramach banku prowadzącego obsługę) oraz przelewy zewnętrzne?</w:t>
      </w:r>
    </w:p>
    <w:p w:rsidR="00663E0C" w:rsidRPr="00663E0C" w:rsidRDefault="00663E0C" w:rsidP="00663E0C">
      <w:pPr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3E0C">
        <w:rPr>
          <w:rFonts w:ascii="Times New Roman" w:hAnsi="Times New Roman" w:cs="Times New Roman"/>
          <w:sz w:val="24"/>
          <w:szCs w:val="24"/>
        </w:rPr>
        <w:t>Ile wynosi przewidywana średniomiesięczna ilość wpłat gotówkowych (w szt.) na rachunki Zamawiającego w podziale na wpłaty realizowane przez Zamawiającego i osoby trzecie?</w:t>
      </w:r>
    </w:p>
    <w:p w:rsidR="00663E0C" w:rsidRPr="00663E0C" w:rsidRDefault="00663E0C" w:rsidP="00663E0C">
      <w:pPr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3E0C">
        <w:rPr>
          <w:rFonts w:ascii="Times New Roman" w:hAnsi="Times New Roman" w:cs="Times New Roman"/>
          <w:sz w:val="24"/>
          <w:szCs w:val="24"/>
        </w:rPr>
        <w:t>Jaka jest przewidywana średniomiesięczna liczba wpłat zamkniętych.</w:t>
      </w:r>
    </w:p>
    <w:p w:rsidR="00663E0C" w:rsidRPr="00663E0C" w:rsidRDefault="00663E0C" w:rsidP="00663E0C">
      <w:pPr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3E0C">
        <w:rPr>
          <w:rFonts w:ascii="Times New Roman" w:hAnsi="Times New Roman" w:cs="Times New Roman"/>
          <w:sz w:val="24"/>
          <w:szCs w:val="24"/>
        </w:rPr>
        <w:t>Ile wynosi przewidywana średniomiesięczna ilość wypłat gotówkowych (w szt.) z rachunków Zamawiającego?</w:t>
      </w:r>
    </w:p>
    <w:p w:rsidR="00663E0C" w:rsidRPr="00663E0C" w:rsidRDefault="00663E0C" w:rsidP="00663E0C">
      <w:pPr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3E0C">
        <w:rPr>
          <w:rFonts w:ascii="Times New Roman" w:hAnsi="Times New Roman" w:cs="Times New Roman"/>
          <w:sz w:val="24"/>
          <w:szCs w:val="24"/>
        </w:rPr>
        <w:t>Ile wynosi przewidywane średniomiesięczne zapotrzebowanie na blankiety czekowe?</w:t>
      </w:r>
    </w:p>
    <w:p w:rsidR="00663E0C" w:rsidRPr="00663E0C" w:rsidRDefault="00663E0C" w:rsidP="00663E0C">
      <w:pPr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3E0C">
        <w:rPr>
          <w:rFonts w:ascii="Times New Roman" w:hAnsi="Times New Roman" w:cs="Times New Roman"/>
          <w:sz w:val="24"/>
          <w:szCs w:val="24"/>
        </w:rPr>
        <w:t>Jaka  jest liczba użytkowników bankowości elektronicznej?</w:t>
      </w:r>
    </w:p>
    <w:p w:rsidR="00663E0C" w:rsidRPr="00663E0C" w:rsidRDefault="00663E0C" w:rsidP="00663E0C">
      <w:pPr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3E0C">
        <w:rPr>
          <w:rFonts w:ascii="Times New Roman" w:hAnsi="Times New Roman" w:cs="Times New Roman"/>
          <w:sz w:val="24"/>
          <w:szCs w:val="24"/>
        </w:rPr>
        <w:t>Jaka jest przewidywana liczba rachunków wirtualnych na potrzeby przelewów masowych?</w:t>
      </w:r>
    </w:p>
    <w:p w:rsidR="00663E0C" w:rsidRPr="00663E0C" w:rsidRDefault="00663E0C" w:rsidP="00663E0C">
      <w:pPr>
        <w:pStyle w:val="Tekstpodstawowy"/>
        <w:numPr>
          <w:ilvl w:val="0"/>
          <w:numId w:val="1"/>
        </w:numPr>
        <w:spacing w:after="0"/>
        <w:jc w:val="both"/>
      </w:pPr>
      <w:r w:rsidRPr="00663E0C">
        <w:rPr>
          <w:color w:val="000000"/>
        </w:rPr>
        <w:t>Prosimy o potwierdzenie, że obsługa bankowa nie obejmuje wypłat świadczeń na rzecz beneficjentów Miejskiego Ośrodka Pomocy Społecznej w formie gotówkowej w placówce Banku. W przypadku odpowiedzi negatywnej prosimy o w</w:t>
      </w:r>
      <w:r w:rsidRPr="00663E0C">
        <w:t>skazanie ilości świadczeniobiorców, przewidywanej średniomiesięcznej ilości i wartości wypłat gotówkowych oraz terminów wypłat.</w:t>
      </w:r>
    </w:p>
    <w:p w:rsidR="00663E0C" w:rsidRPr="00663E0C" w:rsidRDefault="00663E0C" w:rsidP="00663E0C">
      <w:pPr>
        <w:pStyle w:val="Tekstpodstawowy"/>
        <w:numPr>
          <w:ilvl w:val="0"/>
          <w:numId w:val="1"/>
        </w:numPr>
        <w:spacing w:after="0"/>
        <w:jc w:val="both"/>
      </w:pPr>
      <w:r w:rsidRPr="00663E0C">
        <w:t>W pkt 15 zapytania ofertowego Zamawiający wskazał, że jednym z elementów zamówienia jest przechowywanie depozytów. Czy chodzi o depozyty rzeczowe? Jeżeli tak, prosimy o wskazanie co będzie przedmiotem depozytu oraz jaki jest przewidywany okres jego przechowywania.</w:t>
      </w:r>
    </w:p>
    <w:p w:rsidR="00663E0C" w:rsidRPr="00663E0C" w:rsidRDefault="00663E0C" w:rsidP="00663E0C">
      <w:pPr>
        <w:pStyle w:val="Tekstpodstawowy"/>
        <w:numPr>
          <w:ilvl w:val="0"/>
          <w:numId w:val="1"/>
        </w:numPr>
        <w:spacing w:after="0"/>
        <w:jc w:val="both"/>
      </w:pPr>
      <w:r w:rsidRPr="00663E0C">
        <w:rPr>
          <w:color w:val="000000"/>
        </w:rPr>
        <w:lastRenderedPageBreak/>
        <w:t>Prosimy o dopuszczenie możliwości złożenia oferty w formie elektronicznej z wykorzystaniem poczty elektronicznej. Oferta zabezpieczona byłaby hasłem, które wykonawca przekaże Zamawiającemu po upływie terminu składania ofert.</w:t>
      </w:r>
    </w:p>
    <w:p w:rsidR="00646D07" w:rsidRDefault="00646D07" w:rsidP="00646D0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6D07" w:rsidRDefault="00646D07" w:rsidP="00646D0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E0C" w:rsidRPr="00646D07" w:rsidRDefault="00663E0C" w:rsidP="00646D0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46D07">
        <w:rPr>
          <w:rFonts w:ascii="Times New Roman" w:hAnsi="Times New Roman" w:cs="Times New Roman"/>
          <w:b/>
          <w:sz w:val="24"/>
          <w:szCs w:val="24"/>
        </w:rPr>
        <w:t>ODPOWIEDZI:</w:t>
      </w:r>
    </w:p>
    <w:p w:rsidR="00663E0C" w:rsidRPr="00AD5D54" w:rsidRDefault="00663E0C" w:rsidP="00AD5D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D73AC8" w:rsidRDefault="002F3945" w:rsidP="00B368BC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3945">
        <w:rPr>
          <w:rFonts w:ascii="Times New Roman" w:hAnsi="Times New Roman" w:cs="Times New Roman"/>
          <w:sz w:val="24"/>
          <w:szCs w:val="24"/>
        </w:rPr>
        <w:t>Przewidywane śre</w:t>
      </w:r>
      <w:r w:rsidR="00D73AC8">
        <w:rPr>
          <w:rFonts w:ascii="Times New Roman" w:hAnsi="Times New Roman" w:cs="Times New Roman"/>
          <w:sz w:val="24"/>
          <w:szCs w:val="24"/>
        </w:rPr>
        <w:t>dniomiesięczne saldo na rachunku</w:t>
      </w:r>
    </w:p>
    <w:p w:rsidR="00B368BC" w:rsidRDefault="002F3945" w:rsidP="00D73AC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3945">
        <w:rPr>
          <w:rFonts w:ascii="Times New Roman" w:hAnsi="Times New Roman" w:cs="Times New Roman"/>
          <w:sz w:val="24"/>
          <w:szCs w:val="24"/>
        </w:rPr>
        <w:t xml:space="preserve">Gminy </w:t>
      </w:r>
      <w:r w:rsidR="00D73AC8">
        <w:rPr>
          <w:rFonts w:ascii="Times New Roman" w:hAnsi="Times New Roman" w:cs="Times New Roman"/>
          <w:sz w:val="24"/>
          <w:szCs w:val="24"/>
        </w:rPr>
        <w:tab/>
      </w:r>
      <w:r w:rsidR="00D73AC8">
        <w:rPr>
          <w:rFonts w:ascii="Times New Roman" w:hAnsi="Times New Roman" w:cs="Times New Roman"/>
          <w:sz w:val="24"/>
          <w:szCs w:val="24"/>
        </w:rPr>
        <w:tab/>
        <w:t xml:space="preserve">- ok. </w:t>
      </w:r>
      <w:r w:rsidRPr="002F3945">
        <w:rPr>
          <w:rFonts w:ascii="Times New Roman" w:hAnsi="Times New Roman" w:cs="Times New Roman"/>
          <w:sz w:val="24"/>
          <w:szCs w:val="24"/>
        </w:rPr>
        <w:t>1</w:t>
      </w:r>
      <w:r w:rsidR="00782704">
        <w:rPr>
          <w:rFonts w:ascii="Times New Roman" w:hAnsi="Times New Roman" w:cs="Times New Roman"/>
          <w:sz w:val="24"/>
          <w:szCs w:val="24"/>
        </w:rPr>
        <w:t>5</w:t>
      </w:r>
      <w:r w:rsidRPr="002F3945">
        <w:rPr>
          <w:rFonts w:ascii="Times New Roman" w:hAnsi="Times New Roman" w:cs="Times New Roman"/>
          <w:sz w:val="24"/>
          <w:szCs w:val="24"/>
        </w:rPr>
        <w:t xml:space="preserve"> mln.</w:t>
      </w:r>
      <w:r w:rsidR="00B368BC">
        <w:rPr>
          <w:rFonts w:ascii="Times New Roman" w:hAnsi="Times New Roman" w:cs="Times New Roman"/>
          <w:sz w:val="24"/>
          <w:szCs w:val="24"/>
        </w:rPr>
        <w:t xml:space="preserve"> </w:t>
      </w:r>
      <w:r w:rsidR="00D73AC8">
        <w:rPr>
          <w:rFonts w:ascii="Times New Roman" w:hAnsi="Times New Roman" w:cs="Times New Roman"/>
          <w:sz w:val="24"/>
          <w:szCs w:val="24"/>
        </w:rPr>
        <w:t>z</w:t>
      </w:r>
      <w:r w:rsidRPr="002F3945">
        <w:rPr>
          <w:rFonts w:ascii="Times New Roman" w:hAnsi="Times New Roman" w:cs="Times New Roman"/>
          <w:sz w:val="24"/>
          <w:szCs w:val="24"/>
        </w:rPr>
        <w:t>ł</w:t>
      </w:r>
      <w:r w:rsidR="00D73AC8">
        <w:rPr>
          <w:rFonts w:ascii="Times New Roman" w:hAnsi="Times New Roman" w:cs="Times New Roman"/>
          <w:sz w:val="24"/>
          <w:szCs w:val="24"/>
        </w:rPr>
        <w:t xml:space="preserve"> w tym saldo </w:t>
      </w:r>
      <w:proofErr w:type="spellStart"/>
      <w:r w:rsidR="00D73AC8">
        <w:rPr>
          <w:rFonts w:ascii="Times New Roman" w:hAnsi="Times New Roman" w:cs="Times New Roman"/>
          <w:sz w:val="24"/>
          <w:szCs w:val="24"/>
        </w:rPr>
        <w:t>rach</w:t>
      </w:r>
      <w:proofErr w:type="spellEnd"/>
      <w:r w:rsidR="00D73AC8">
        <w:rPr>
          <w:rFonts w:ascii="Times New Roman" w:hAnsi="Times New Roman" w:cs="Times New Roman"/>
          <w:sz w:val="24"/>
          <w:szCs w:val="24"/>
        </w:rPr>
        <w:t>. Depozytowych ok. 1 mln. zł</w:t>
      </w:r>
    </w:p>
    <w:p w:rsidR="00D73AC8" w:rsidRDefault="00D73AC8" w:rsidP="00D73AC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jednostka</w:t>
      </w:r>
      <w:r>
        <w:rPr>
          <w:rFonts w:ascii="Times New Roman" w:hAnsi="Times New Roman" w:cs="Times New Roman"/>
          <w:sz w:val="24"/>
          <w:szCs w:val="24"/>
        </w:rPr>
        <w:tab/>
        <w:t>- ok.   3 mln. zł</w:t>
      </w:r>
    </w:p>
    <w:p w:rsidR="00D73AC8" w:rsidRDefault="00D73AC8" w:rsidP="00D73AC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jednostki</w:t>
      </w:r>
      <w:r>
        <w:rPr>
          <w:rFonts w:ascii="Times New Roman" w:hAnsi="Times New Roman" w:cs="Times New Roman"/>
          <w:sz w:val="24"/>
          <w:szCs w:val="24"/>
        </w:rPr>
        <w:tab/>
        <w:t>- ok. 400 tys. zł</w:t>
      </w:r>
    </w:p>
    <w:p w:rsidR="00D73AC8" w:rsidRDefault="00D73AC8" w:rsidP="00D73AC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jednostka</w:t>
      </w:r>
      <w:r>
        <w:rPr>
          <w:rFonts w:ascii="Times New Roman" w:hAnsi="Times New Roman" w:cs="Times New Roman"/>
          <w:sz w:val="24"/>
          <w:szCs w:val="24"/>
        </w:rPr>
        <w:tab/>
        <w:t>- ok  150 tys. zł</w:t>
      </w:r>
    </w:p>
    <w:p w:rsidR="00D73AC8" w:rsidRDefault="00D73AC8" w:rsidP="00D73AC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jednostka</w:t>
      </w:r>
      <w:r>
        <w:rPr>
          <w:rFonts w:ascii="Times New Roman" w:hAnsi="Times New Roman" w:cs="Times New Roman"/>
          <w:sz w:val="24"/>
          <w:szCs w:val="24"/>
        </w:rPr>
        <w:tab/>
        <w:t>- ok. 100 tys. zł</w:t>
      </w:r>
    </w:p>
    <w:p w:rsidR="00D73AC8" w:rsidRDefault="00D73AC8" w:rsidP="00D73AC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jednostki</w:t>
      </w:r>
      <w:r>
        <w:rPr>
          <w:rFonts w:ascii="Times New Roman" w:hAnsi="Times New Roman" w:cs="Times New Roman"/>
          <w:sz w:val="24"/>
          <w:szCs w:val="24"/>
        </w:rPr>
        <w:tab/>
        <w:t xml:space="preserve">- ok.  </w:t>
      </w:r>
      <w:r w:rsidR="0000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 tys. zł</w:t>
      </w:r>
    </w:p>
    <w:p w:rsidR="00D73AC8" w:rsidRDefault="00D73AC8" w:rsidP="00D73AC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jednostek</w:t>
      </w:r>
      <w:r>
        <w:rPr>
          <w:rFonts w:ascii="Times New Roman" w:hAnsi="Times New Roman" w:cs="Times New Roman"/>
          <w:sz w:val="24"/>
          <w:szCs w:val="24"/>
        </w:rPr>
        <w:tab/>
        <w:t xml:space="preserve">- ok.  </w:t>
      </w:r>
      <w:r w:rsidR="0000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 tys. zł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34EB" w:rsidRDefault="00B534EB" w:rsidP="00B534EB">
      <w:pPr>
        <w:pStyle w:val="Akapitzlist"/>
        <w:ind w:left="1350"/>
        <w:rPr>
          <w:rFonts w:ascii="Times New Roman" w:hAnsi="Times New Roman" w:cs="Times New Roman"/>
          <w:sz w:val="24"/>
          <w:szCs w:val="24"/>
        </w:rPr>
      </w:pPr>
    </w:p>
    <w:p w:rsidR="00663E0C" w:rsidRDefault="00663E0C" w:rsidP="00B368BC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8BC">
        <w:rPr>
          <w:rFonts w:ascii="Times New Roman" w:hAnsi="Times New Roman" w:cs="Times New Roman"/>
          <w:sz w:val="24"/>
          <w:szCs w:val="24"/>
        </w:rPr>
        <w:t>Rachunki walutowe prowadzone będą w walucie: Euro</w:t>
      </w:r>
    </w:p>
    <w:p w:rsidR="00AD5D54" w:rsidRDefault="00B368BC" w:rsidP="00B368BC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Przewidywana liczba rachunków </w:t>
      </w:r>
    </w:p>
    <w:p w:rsidR="00B368BC" w:rsidRDefault="00AD5D54" w:rsidP="00AD5D5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B368BC">
        <w:rPr>
          <w:rFonts w:ascii="Times New Roman" w:hAnsi="Times New Roman" w:cs="Times New Roman"/>
          <w:sz w:val="24"/>
          <w:szCs w:val="24"/>
        </w:rPr>
        <w:t xml:space="preserve"> ok</w:t>
      </w:r>
      <w:r w:rsidR="00B534EB">
        <w:rPr>
          <w:rFonts w:ascii="Times New Roman" w:hAnsi="Times New Roman" w:cs="Times New Roman"/>
          <w:sz w:val="24"/>
          <w:szCs w:val="24"/>
        </w:rPr>
        <w:t>.</w:t>
      </w:r>
      <w:r w:rsidR="00B368BC">
        <w:rPr>
          <w:rFonts w:ascii="Times New Roman" w:hAnsi="Times New Roman" w:cs="Times New Roman"/>
          <w:sz w:val="24"/>
          <w:szCs w:val="24"/>
        </w:rPr>
        <w:t xml:space="preserve"> 60 szt. </w:t>
      </w:r>
    </w:p>
    <w:p w:rsidR="00AD5D54" w:rsidRDefault="00B534EB" w:rsidP="00AD5D5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jednostka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675E1">
        <w:rPr>
          <w:rFonts w:ascii="Times New Roman" w:hAnsi="Times New Roman" w:cs="Times New Roman"/>
          <w:sz w:val="24"/>
          <w:szCs w:val="24"/>
        </w:rPr>
        <w:t>ok.</w:t>
      </w:r>
      <w:r>
        <w:rPr>
          <w:rFonts w:ascii="Times New Roman" w:hAnsi="Times New Roman" w:cs="Times New Roman"/>
          <w:sz w:val="24"/>
          <w:szCs w:val="24"/>
        </w:rPr>
        <w:t xml:space="preserve"> 10 szt.</w:t>
      </w:r>
    </w:p>
    <w:p w:rsidR="001675E1" w:rsidRDefault="001675E1" w:rsidP="00AD5D5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jednostek</w:t>
      </w:r>
      <w:r>
        <w:rPr>
          <w:rFonts w:ascii="Times New Roman" w:hAnsi="Times New Roman" w:cs="Times New Roman"/>
          <w:sz w:val="24"/>
          <w:szCs w:val="24"/>
        </w:rPr>
        <w:tab/>
        <w:t>-         3 szt.</w:t>
      </w:r>
    </w:p>
    <w:p w:rsidR="001675E1" w:rsidRDefault="001675E1" w:rsidP="00AD5D5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jednostek</w:t>
      </w:r>
      <w:r>
        <w:rPr>
          <w:rFonts w:ascii="Times New Roman" w:hAnsi="Times New Roman" w:cs="Times New Roman"/>
          <w:sz w:val="24"/>
          <w:szCs w:val="24"/>
        </w:rPr>
        <w:tab/>
        <w:t>-         2 szt.</w:t>
      </w:r>
    </w:p>
    <w:p w:rsidR="0047127E" w:rsidRPr="0047127E" w:rsidRDefault="0047127E" w:rsidP="0047127E">
      <w:pPr>
        <w:pStyle w:val="Akapitzlist"/>
        <w:ind w:left="1287"/>
        <w:rPr>
          <w:rFonts w:ascii="Times New Roman" w:hAnsi="Times New Roman" w:cs="Times New Roman"/>
          <w:sz w:val="12"/>
          <w:szCs w:val="12"/>
        </w:rPr>
      </w:pPr>
    </w:p>
    <w:p w:rsidR="00B368BC" w:rsidRDefault="00B368BC" w:rsidP="00B368BC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Przewidywana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średniomiesieczna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liczba przelewów </w:t>
      </w:r>
      <w:r w:rsidR="00310385">
        <w:rPr>
          <w:rFonts w:ascii="Times New Roman" w:hAnsi="Times New Roman" w:cs="Times New Roman"/>
          <w:sz w:val="24"/>
          <w:szCs w:val="24"/>
        </w:rPr>
        <w:t xml:space="preserve">zewnętrznych/wewnętrznych </w:t>
      </w:r>
      <w:r>
        <w:rPr>
          <w:rFonts w:ascii="Times New Roman" w:hAnsi="Times New Roman" w:cs="Times New Roman"/>
          <w:sz w:val="24"/>
          <w:szCs w:val="24"/>
        </w:rPr>
        <w:t>realizowanych przez:</w:t>
      </w:r>
    </w:p>
    <w:p w:rsidR="0080116E" w:rsidRDefault="0080116E" w:rsidP="0080116E">
      <w:pPr>
        <w:pStyle w:val="Akapitzlist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przelewy zewnętrzne</w:t>
      </w:r>
      <w:r w:rsidR="00471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przelewy wewnętrzne</w:t>
      </w:r>
    </w:p>
    <w:p w:rsidR="00B368BC" w:rsidRPr="00B368BC" w:rsidRDefault="00B368BC" w:rsidP="00B368B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368BC">
        <w:rPr>
          <w:rFonts w:ascii="Times New Roman" w:hAnsi="Times New Roman" w:cs="Times New Roman"/>
        </w:rPr>
        <w:t>Gminę</w:t>
      </w:r>
      <w:r w:rsidRPr="00B368BC">
        <w:rPr>
          <w:rFonts w:ascii="Times New Roman" w:hAnsi="Times New Roman" w:cs="Times New Roman"/>
        </w:rPr>
        <w:tab/>
      </w:r>
      <w:r w:rsidRPr="00B368BC">
        <w:rPr>
          <w:rFonts w:ascii="Times New Roman" w:hAnsi="Times New Roman" w:cs="Times New Roman"/>
        </w:rPr>
        <w:tab/>
        <w:t>- ok. 400 szt.</w:t>
      </w:r>
      <w:r w:rsidR="00310385">
        <w:rPr>
          <w:rFonts w:ascii="Times New Roman" w:hAnsi="Times New Roman" w:cs="Times New Roman"/>
        </w:rPr>
        <w:tab/>
      </w:r>
      <w:r w:rsidR="00310385">
        <w:rPr>
          <w:rFonts w:ascii="Times New Roman" w:hAnsi="Times New Roman" w:cs="Times New Roman"/>
        </w:rPr>
        <w:tab/>
        <w:t>/ ok. 195 szt.</w:t>
      </w:r>
    </w:p>
    <w:p w:rsidR="00B368BC" w:rsidRDefault="00B368BC" w:rsidP="00B368B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368BC">
        <w:rPr>
          <w:rFonts w:ascii="Times New Roman" w:hAnsi="Times New Roman" w:cs="Times New Roman"/>
        </w:rPr>
        <w:t>1 jednostka</w:t>
      </w:r>
      <w:r w:rsidRPr="00B368BC">
        <w:rPr>
          <w:rFonts w:ascii="Times New Roman" w:hAnsi="Times New Roman" w:cs="Times New Roman"/>
        </w:rPr>
        <w:tab/>
        <w:t>- ok. 4.600 szt.</w:t>
      </w:r>
      <w:r w:rsidR="00310385">
        <w:rPr>
          <w:rFonts w:ascii="Times New Roman" w:hAnsi="Times New Roman" w:cs="Times New Roman"/>
        </w:rPr>
        <w:tab/>
      </w:r>
      <w:r w:rsidR="00310385">
        <w:rPr>
          <w:rFonts w:ascii="Times New Roman" w:hAnsi="Times New Roman" w:cs="Times New Roman"/>
        </w:rPr>
        <w:tab/>
        <w:t>/ ok. 500 szt.</w:t>
      </w:r>
    </w:p>
    <w:p w:rsidR="00615D96" w:rsidRDefault="00615D96" w:rsidP="00B368B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jednostki</w:t>
      </w:r>
      <w:r>
        <w:rPr>
          <w:rFonts w:ascii="Times New Roman" w:hAnsi="Times New Roman" w:cs="Times New Roman"/>
        </w:rPr>
        <w:tab/>
        <w:t>- po ok. 220 szt.</w:t>
      </w:r>
      <w:r w:rsidR="00310385">
        <w:rPr>
          <w:rFonts w:ascii="Times New Roman" w:hAnsi="Times New Roman" w:cs="Times New Roman"/>
        </w:rPr>
        <w:tab/>
        <w:t>/ ok.   35 szt.</w:t>
      </w:r>
    </w:p>
    <w:p w:rsidR="00782704" w:rsidRPr="00782704" w:rsidRDefault="00782704" w:rsidP="0078270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15D96">
        <w:rPr>
          <w:rFonts w:ascii="Times New Roman" w:hAnsi="Times New Roman" w:cs="Times New Roman"/>
        </w:rPr>
        <w:t xml:space="preserve"> jednostki</w:t>
      </w:r>
      <w:r w:rsidR="00615D96">
        <w:rPr>
          <w:rFonts w:ascii="Times New Roman" w:hAnsi="Times New Roman" w:cs="Times New Roman"/>
        </w:rPr>
        <w:tab/>
        <w:t>- po ok. 100 szt.</w:t>
      </w:r>
      <w:r w:rsidR="00310385">
        <w:rPr>
          <w:rFonts w:ascii="Times New Roman" w:hAnsi="Times New Roman" w:cs="Times New Roman"/>
        </w:rPr>
        <w:tab/>
        <w:t xml:space="preserve">/ </w:t>
      </w:r>
      <w:r w:rsidR="008C7900">
        <w:rPr>
          <w:rFonts w:ascii="Times New Roman" w:hAnsi="Times New Roman" w:cs="Times New Roman"/>
        </w:rPr>
        <w:t>ok.   25 szt.</w:t>
      </w:r>
    </w:p>
    <w:p w:rsidR="00615D96" w:rsidRDefault="00615D96" w:rsidP="00B368B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jednostki</w:t>
      </w:r>
      <w:r>
        <w:rPr>
          <w:rFonts w:ascii="Times New Roman" w:hAnsi="Times New Roman" w:cs="Times New Roman"/>
        </w:rPr>
        <w:tab/>
        <w:t>- po ok. 50 szt.</w:t>
      </w:r>
      <w:r w:rsidR="008C7900">
        <w:rPr>
          <w:rFonts w:ascii="Times New Roman" w:hAnsi="Times New Roman" w:cs="Times New Roman"/>
        </w:rPr>
        <w:tab/>
      </w:r>
      <w:r w:rsidR="008C7900">
        <w:rPr>
          <w:rFonts w:ascii="Times New Roman" w:hAnsi="Times New Roman" w:cs="Times New Roman"/>
        </w:rPr>
        <w:tab/>
        <w:t xml:space="preserve">/ ok.   </w:t>
      </w:r>
      <w:r w:rsidR="0080116E">
        <w:rPr>
          <w:rFonts w:ascii="Times New Roman" w:hAnsi="Times New Roman" w:cs="Times New Roman"/>
        </w:rPr>
        <w:t>20</w:t>
      </w:r>
      <w:r w:rsidR="008C7900">
        <w:rPr>
          <w:rFonts w:ascii="Times New Roman" w:hAnsi="Times New Roman" w:cs="Times New Roman"/>
        </w:rPr>
        <w:t xml:space="preserve"> szt.</w:t>
      </w:r>
    </w:p>
    <w:p w:rsidR="0080116E" w:rsidRPr="0080116E" w:rsidRDefault="00615D96" w:rsidP="0080116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jednostki</w:t>
      </w:r>
      <w:r>
        <w:rPr>
          <w:rFonts w:ascii="Times New Roman" w:hAnsi="Times New Roman" w:cs="Times New Roman"/>
        </w:rPr>
        <w:tab/>
        <w:t>- po ok. 35 szt.</w:t>
      </w:r>
      <w:r w:rsidR="008C7900">
        <w:rPr>
          <w:rFonts w:ascii="Times New Roman" w:hAnsi="Times New Roman" w:cs="Times New Roman"/>
        </w:rPr>
        <w:tab/>
      </w:r>
      <w:r w:rsidR="008C7900">
        <w:rPr>
          <w:rFonts w:ascii="Times New Roman" w:hAnsi="Times New Roman" w:cs="Times New Roman"/>
        </w:rPr>
        <w:tab/>
        <w:t xml:space="preserve">/ ok   </w:t>
      </w:r>
      <w:r w:rsidR="0080116E">
        <w:rPr>
          <w:rFonts w:ascii="Times New Roman" w:hAnsi="Times New Roman" w:cs="Times New Roman"/>
        </w:rPr>
        <w:t xml:space="preserve"> 15</w:t>
      </w:r>
      <w:r w:rsidR="008C7900">
        <w:rPr>
          <w:rFonts w:ascii="Times New Roman" w:hAnsi="Times New Roman" w:cs="Times New Roman"/>
        </w:rPr>
        <w:t xml:space="preserve"> szt.</w:t>
      </w:r>
    </w:p>
    <w:p w:rsidR="00615D96" w:rsidRDefault="00615D96" w:rsidP="00B368B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jednostki </w:t>
      </w:r>
      <w:r>
        <w:rPr>
          <w:rFonts w:ascii="Times New Roman" w:hAnsi="Times New Roman" w:cs="Times New Roman"/>
        </w:rPr>
        <w:tab/>
        <w:t>- po ok. 25 szt.</w:t>
      </w:r>
      <w:r w:rsidR="0080116E">
        <w:rPr>
          <w:rFonts w:ascii="Times New Roman" w:hAnsi="Times New Roman" w:cs="Times New Roman"/>
        </w:rPr>
        <w:tab/>
      </w:r>
      <w:r w:rsidR="0080116E">
        <w:rPr>
          <w:rFonts w:ascii="Times New Roman" w:hAnsi="Times New Roman" w:cs="Times New Roman"/>
        </w:rPr>
        <w:tab/>
        <w:t>/ ok.   12 szt.</w:t>
      </w:r>
      <w:r w:rsidR="0080116E">
        <w:rPr>
          <w:rFonts w:ascii="Times New Roman" w:hAnsi="Times New Roman" w:cs="Times New Roman"/>
        </w:rPr>
        <w:tab/>
      </w:r>
    </w:p>
    <w:p w:rsidR="00782704" w:rsidRPr="0047127E" w:rsidRDefault="00782704" w:rsidP="00782704">
      <w:pPr>
        <w:rPr>
          <w:rFonts w:ascii="Times New Roman" w:hAnsi="Times New Roman" w:cs="Times New Roman"/>
          <w:sz w:val="12"/>
          <w:szCs w:val="12"/>
        </w:rPr>
      </w:pPr>
    </w:p>
    <w:p w:rsidR="00782704" w:rsidRPr="00782704" w:rsidRDefault="00782704" w:rsidP="0078270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82704">
        <w:rPr>
          <w:rFonts w:ascii="Times New Roman" w:hAnsi="Times New Roman" w:cs="Times New Roman"/>
          <w:sz w:val="24"/>
          <w:szCs w:val="24"/>
        </w:rPr>
        <w:t>Przewidywana średniomiesięczna ilość wpłat gotówkowych realizowanych przez</w:t>
      </w:r>
      <w:r w:rsidR="00310385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782704">
        <w:rPr>
          <w:rFonts w:ascii="Times New Roman" w:hAnsi="Times New Roman" w:cs="Times New Roman"/>
          <w:sz w:val="24"/>
          <w:szCs w:val="24"/>
        </w:rPr>
        <w:t>:</w:t>
      </w:r>
    </w:p>
    <w:p w:rsidR="00782704" w:rsidRDefault="00782704" w:rsidP="00B368B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Gminę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ok. 75 szt.</w:t>
      </w:r>
    </w:p>
    <w:p w:rsidR="00782704" w:rsidRDefault="00782704" w:rsidP="00B368B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jednostka</w:t>
      </w:r>
      <w:r>
        <w:rPr>
          <w:rFonts w:ascii="Times New Roman" w:hAnsi="Times New Roman" w:cs="Times New Roman"/>
        </w:rPr>
        <w:tab/>
        <w:t>- ok. 15 szt.</w:t>
      </w:r>
    </w:p>
    <w:p w:rsidR="00782704" w:rsidRDefault="00130684" w:rsidP="00B368B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82704">
        <w:rPr>
          <w:rFonts w:ascii="Times New Roman" w:hAnsi="Times New Roman" w:cs="Times New Roman"/>
        </w:rPr>
        <w:t xml:space="preserve"> jednostk</w:t>
      </w:r>
      <w:r>
        <w:rPr>
          <w:rFonts w:ascii="Times New Roman" w:hAnsi="Times New Roman" w:cs="Times New Roman"/>
        </w:rPr>
        <w:t>i</w:t>
      </w:r>
      <w:r w:rsidR="00782704">
        <w:rPr>
          <w:rFonts w:ascii="Times New Roman" w:hAnsi="Times New Roman" w:cs="Times New Roman"/>
        </w:rPr>
        <w:tab/>
        <w:t>- ok.   5 szt.</w:t>
      </w:r>
    </w:p>
    <w:p w:rsidR="00130684" w:rsidRDefault="00130684" w:rsidP="00B368B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jednostki </w:t>
      </w:r>
      <w:r>
        <w:rPr>
          <w:rFonts w:ascii="Times New Roman" w:hAnsi="Times New Roman" w:cs="Times New Roman"/>
        </w:rPr>
        <w:tab/>
        <w:t>- ok.   3 szt.</w:t>
      </w:r>
      <w:r>
        <w:rPr>
          <w:rFonts w:ascii="Times New Roman" w:hAnsi="Times New Roman" w:cs="Times New Roman"/>
        </w:rPr>
        <w:tab/>
      </w:r>
    </w:p>
    <w:p w:rsidR="00130684" w:rsidRDefault="00130684" w:rsidP="00B368B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jednostek</w:t>
      </w:r>
      <w:r>
        <w:rPr>
          <w:rFonts w:ascii="Times New Roman" w:hAnsi="Times New Roman" w:cs="Times New Roman"/>
        </w:rPr>
        <w:tab/>
        <w:t>- ok.   1 szt.</w:t>
      </w:r>
    </w:p>
    <w:p w:rsidR="0047127E" w:rsidRPr="0047127E" w:rsidRDefault="0047127E" w:rsidP="0047127E">
      <w:pPr>
        <w:pStyle w:val="Akapitzlist"/>
        <w:ind w:left="1287"/>
        <w:rPr>
          <w:rFonts w:ascii="Times New Roman" w:hAnsi="Times New Roman" w:cs="Times New Roman"/>
          <w:sz w:val="12"/>
          <w:szCs w:val="12"/>
        </w:rPr>
      </w:pPr>
    </w:p>
    <w:p w:rsidR="00AD5D54" w:rsidRPr="00AD5D54" w:rsidRDefault="001421C6" w:rsidP="00B368BC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Gmina przewiduje stosowanie wpłat zamkniętych jedynie w sytuacjach</w:t>
      </w:r>
      <w:r w:rsidR="00AD5D54">
        <w:rPr>
          <w:rFonts w:ascii="Times New Roman" w:hAnsi="Times New Roman" w:cs="Times New Roman"/>
          <w:sz w:val="24"/>
          <w:szCs w:val="24"/>
        </w:rPr>
        <w:t xml:space="preserve"> wyjątkowych, zazwyczaj tylko kilka razy w roku.</w:t>
      </w:r>
    </w:p>
    <w:p w:rsidR="00782704" w:rsidRPr="00AD5D54" w:rsidRDefault="00782704" w:rsidP="00AD5D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63E0C">
        <w:rPr>
          <w:rFonts w:ascii="Times New Roman" w:hAnsi="Times New Roman" w:cs="Times New Roman"/>
          <w:sz w:val="24"/>
          <w:szCs w:val="24"/>
        </w:rPr>
        <w:t>rzewidywana średniomiesięczna ilość w</w:t>
      </w:r>
      <w:r w:rsidR="00AD5D54">
        <w:rPr>
          <w:rFonts w:ascii="Times New Roman" w:hAnsi="Times New Roman" w:cs="Times New Roman"/>
          <w:sz w:val="24"/>
          <w:szCs w:val="24"/>
        </w:rPr>
        <w:t>y</w:t>
      </w:r>
      <w:r w:rsidRPr="00663E0C">
        <w:rPr>
          <w:rFonts w:ascii="Times New Roman" w:hAnsi="Times New Roman" w:cs="Times New Roman"/>
          <w:sz w:val="24"/>
          <w:szCs w:val="24"/>
        </w:rPr>
        <w:t>płat gotówkowych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realizowanych przez:</w:t>
      </w:r>
    </w:p>
    <w:p w:rsidR="00AD5D54" w:rsidRDefault="00AD5D54" w:rsidP="00AD5D54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ok. 5 szt.</w:t>
      </w:r>
    </w:p>
    <w:p w:rsidR="00AD5D54" w:rsidRDefault="00AD5D54" w:rsidP="00AD5D54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jednostka</w:t>
      </w:r>
      <w:r>
        <w:rPr>
          <w:rFonts w:ascii="Times New Roman" w:hAnsi="Times New Roman" w:cs="Times New Roman"/>
        </w:rPr>
        <w:tab/>
        <w:t>- ok. 10 szt.</w:t>
      </w:r>
    </w:p>
    <w:p w:rsidR="00AD5D54" w:rsidRDefault="00AD5D54" w:rsidP="00AD5D54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jednostek</w:t>
      </w:r>
      <w:r>
        <w:rPr>
          <w:rFonts w:ascii="Times New Roman" w:hAnsi="Times New Roman" w:cs="Times New Roman"/>
        </w:rPr>
        <w:tab/>
        <w:t xml:space="preserve">- do </w:t>
      </w:r>
      <w:r w:rsidR="001844C6">
        <w:rPr>
          <w:rFonts w:ascii="Times New Roman" w:hAnsi="Times New Roman" w:cs="Times New Roman"/>
        </w:rPr>
        <w:t xml:space="preserve">  1 szt.</w:t>
      </w:r>
    </w:p>
    <w:p w:rsidR="0047127E" w:rsidRPr="0047127E" w:rsidRDefault="0047127E" w:rsidP="0047127E">
      <w:pPr>
        <w:ind w:left="927"/>
        <w:rPr>
          <w:rFonts w:ascii="Times New Roman" w:hAnsi="Times New Roman" w:cs="Times New Roman"/>
        </w:rPr>
      </w:pPr>
    </w:p>
    <w:p w:rsidR="00AD5D54" w:rsidRDefault="001844C6" w:rsidP="00AD5D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Przewidywane zapotrzebowanie średniomiesięczne na blankiety czekowe wynosi 5 szt.</w:t>
      </w:r>
    </w:p>
    <w:p w:rsidR="001844C6" w:rsidRDefault="001844C6" w:rsidP="00AD5D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liczba użytkowników bankowości elektronicznej na dzień odpowiedzi wynosi </w:t>
      </w:r>
      <w:r w:rsidR="00D5233D">
        <w:rPr>
          <w:rFonts w:ascii="Times New Roman" w:hAnsi="Times New Roman" w:cs="Times New Roman"/>
        </w:rPr>
        <w:t>23 osoby.</w:t>
      </w:r>
    </w:p>
    <w:p w:rsidR="00D5233D" w:rsidRPr="00AD5D54" w:rsidRDefault="00D5233D" w:rsidP="00AD5D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Przewidywana liczba </w:t>
      </w:r>
      <w:r w:rsidRPr="00663E0C">
        <w:rPr>
          <w:rFonts w:ascii="Times New Roman" w:hAnsi="Times New Roman" w:cs="Times New Roman"/>
          <w:sz w:val="24"/>
          <w:szCs w:val="24"/>
        </w:rPr>
        <w:t>rachunków wirtualnych na potrzeby przelewów masowych</w:t>
      </w:r>
      <w:r>
        <w:rPr>
          <w:rFonts w:ascii="Times New Roman" w:hAnsi="Times New Roman" w:cs="Times New Roman"/>
          <w:sz w:val="24"/>
          <w:szCs w:val="24"/>
        </w:rPr>
        <w:t xml:space="preserve"> wynosi ok 11.500 zł.</w:t>
      </w:r>
    </w:p>
    <w:p w:rsidR="00AD5D54" w:rsidRPr="00AD5D54" w:rsidRDefault="00AD5D54" w:rsidP="00AD5D54">
      <w:pPr>
        <w:pStyle w:val="Akapitzlist"/>
        <w:ind w:left="567"/>
        <w:rPr>
          <w:rFonts w:ascii="Times New Roman" w:hAnsi="Times New Roman" w:cs="Times New Roman"/>
        </w:rPr>
      </w:pPr>
    </w:p>
    <w:p w:rsidR="00873B38" w:rsidRPr="00873B38" w:rsidRDefault="00D5233D" w:rsidP="00A0380B">
      <w:pPr>
        <w:pStyle w:val="Tekstpodstawowy"/>
        <w:numPr>
          <w:ilvl w:val="0"/>
          <w:numId w:val="4"/>
        </w:numPr>
        <w:spacing w:after="0"/>
        <w:jc w:val="both"/>
      </w:pPr>
      <w:r w:rsidRPr="00873B38">
        <w:rPr>
          <w:color w:val="000000"/>
        </w:rPr>
        <w:t>Potwierdz</w:t>
      </w:r>
      <w:r w:rsidR="00310385" w:rsidRPr="00873B38">
        <w:rPr>
          <w:color w:val="000000"/>
        </w:rPr>
        <w:t>amy</w:t>
      </w:r>
      <w:r w:rsidRPr="00873B38">
        <w:rPr>
          <w:color w:val="000000"/>
        </w:rPr>
        <w:t xml:space="preserve">, że obsługa bankowa nie obejmuje wypłat świadczeń na rzecz beneficjentów Miejskiego Ośrodka Pomocy Społecznej w formie gotówkowej w placówce Banku. </w:t>
      </w:r>
    </w:p>
    <w:p w:rsidR="00D5233D" w:rsidRPr="00663E0C" w:rsidRDefault="00310385" w:rsidP="00A0380B">
      <w:pPr>
        <w:pStyle w:val="Tekstpodstawowy"/>
        <w:numPr>
          <w:ilvl w:val="0"/>
          <w:numId w:val="4"/>
        </w:numPr>
        <w:spacing w:after="0"/>
        <w:jc w:val="both"/>
      </w:pPr>
      <w:r>
        <w:t>Pkt. 15 zapytania ofertowego dotyczy wyłącznie przechowywania depozytów pieniężn</w:t>
      </w:r>
      <w:r w:rsidR="00873B38">
        <w:t>y</w:t>
      </w:r>
      <w:r>
        <w:t>ch na wyodrębnionych rachunkach bankowych</w:t>
      </w:r>
      <w:r w:rsidR="00D5233D" w:rsidRPr="00663E0C">
        <w:t>.</w:t>
      </w:r>
    </w:p>
    <w:p w:rsidR="00663E0C" w:rsidRPr="00721032" w:rsidRDefault="00873B38" w:rsidP="007B7B0C">
      <w:pPr>
        <w:pStyle w:val="Tekstpodstawowy"/>
        <w:numPr>
          <w:ilvl w:val="0"/>
          <w:numId w:val="4"/>
        </w:numPr>
        <w:spacing w:after="0"/>
        <w:jc w:val="both"/>
      </w:pPr>
      <w:r w:rsidRPr="00873B38">
        <w:rPr>
          <w:color w:val="000000"/>
        </w:rPr>
        <w:t xml:space="preserve">Zamawiający nie </w:t>
      </w:r>
      <w:r w:rsidR="00D5233D" w:rsidRPr="00873B38">
        <w:rPr>
          <w:color w:val="000000"/>
        </w:rPr>
        <w:t>dopuszcz</w:t>
      </w:r>
      <w:r w:rsidRPr="00873B38">
        <w:rPr>
          <w:color w:val="000000"/>
        </w:rPr>
        <w:t>a</w:t>
      </w:r>
      <w:r w:rsidR="00D5233D" w:rsidRPr="00873B38">
        <w:rPr>
          <w:color w:val="000000"/>
        </w:rPr>
        <w:t xml:space="preserve"> możliwości złożenia oferty w formie elektronicznej z wykorzystaniem poczty elektronicznej. </w:t>
      </w:r>
    </w:p>
    <w:p w:rsidR="00721032" w:rsidRDefault="00721032" w:rsidP="00721032">
      <w:pPr>
        <w:pStyle w:val="Tekstpodstawowy"/>
        <w:spacing w:after="0"/>
        <w:jc w:val="both"/>
        <w:rPr>
          <w:color w:val="000000"/>
        </w:rPr>
      </w:pPr>
    </w:p>
    <w:p w:rsidR="00721032" w:rsidRDefault="00721032" w:rsidP="00721032">
      <w:pPr>
        <w:pStyle w:val="Tekstpodstawowy"/>
        <w:spacing w:after="0"/>
        <w:jc w:val="both"/>
        <w:rPr>
          <w:color w:val="000000"/>
        </w:rPr>
      </w:pPr>
    </w:p>
    <w:p w:rsidR="00721032" w:rsidRDefault="00721032" w:rsidP="00721032">
      <w:pPr>
        <w:pStyle w:val="Tekstpodstawowy"/>
        <w:spacing w:after="0"/>
        <w:jc w:val="both"/>
        <w:rPr>
          <w:color w:val="000000"/>
        </w:rPr>
      </w:pPr>
    </w:p>
    <w:p w:rsidR="00721032" w:rsidRDefault="00721032" w:rsidP="00721032">
      <w:pPr>
        <w:pStyle w:val="Tekstpodstawowy"/>
        <w:spacing w:after="0"/>
        <w:jc w:val="both"/>
        <w:rPr>
          <w:color w:val="000000"/>
        </w:rPr>
      </w:pPr>
    </w:p>
    <w:p w:rsidR="00721032" w:rsidRDefault="00721032" w:rsidP="00721032">
      <w:pPr>
        <w:pStyle w:val="Tekstpodstawowy"/>
        <w:spacing w:after="0"/>
        <w:jc w:val="both"/>
        <w:rPr>
          <w:color w:val="000000"/>
        </w:rPr>
      </w:pPr>
    </w:p>
    <w:p w:rsidR="00721032" w:rsidRDefault="00721032" w:rsidP="00721032">
      <w:pPr>
        <w:pStyle w:val="Tekstpodstawowy"/>
        <w:spacing w:after="0"/>
        <w:jc w:val="both"/>
        <w:rPr>
          <w:color w:val="000000"/>
        </w:rPr>
      </w:pPr>
    </w:p>
    <w:p w:rsidR="00721032" w:rsidRPr="00721032" w:rsidRDefault="00721032" w:rsidP="00721032">
      <w:pPr>
        <w:pStyle w:val="Tekstpodstawowy"/>
        <w:spacing w:after="0"/>
        <w:ind w:left="4956"/>
        <w:jc w:val="both"/>
        <w:rPr>
          <w:b/>
          <w:color w:val="000000"/>
        </w:rPr>
      </w:pPr>
      <w:r w:rsidRPr="00721032">
        <w:rPr>
          <w:b/>
          <w:color w:val="000000"/>
        </w:rPr>
        <w:t>BURMISTRZ MIASTA</w:t>
      </w:r>
    </w:p>
    <w:p w:rsidR="00721032" w:rsidRPr="00721032" w:rsidRDefault="00721032" w:rsidP="00721032">
      <w:pPr>
        <w:pStyle w:val="Tekstpodstawowy"/>
        <w:spacing w:after="0"/>
        <w:ind w:left="4956"/>
        <w:jc w:val="both"/>
        <w:rPr>
          <w:b/>
          <w:color w:val="000000"/>
          <w:sz w:val="12"/>
          <w:szCs w:val="12"/>
        </w:rPr>
      </w:pPr>
    </w:p>
    <w:p w:rsidR="00721032" w:rsidRDefault="00721032" w:rsidP="00721032">
      <w:pPr>
        <w:pStyle w:val="Tekstpodstawowy"/>
        <w:spacing w:after="0"/>
        <w:ind w:left="4956"/>
        <w:jc w:val="both"/>
        <w:rPr>
          <w:b/>
          <w:i/>
          <w:color w:val="000000"/>
        </w:rPr>
      </w:pPr>
      <w:r w:rsidRPr="00721032">
        <w:rPr>
          <w:b/>
          <w:i/>
          <w:color w:val="000000"/>
        </w:rPr>
        <w:t>/-/ Ryszard Niedziółka</w:t>
      </w: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</w:p>
    <w:p w:rsidR="00721032" w:rsidRPr="00721032" w:rsidRDefault="00721032" w:rsidP="00721032">
      <w:pPr>
        <w:pStyle w:val="Tekstpodstawowy"/>
        <w:spacing w:after="0"/>
        <w:jc w:val="both"/>
        <w:rPr>
          <w:i/>
          <w:color w:val="000000"/>
          <w:sz w:val="20"/>
          <w:szCs w:val="20"/>
        </w:rPr>
      </w:pPr>
      <w:bookmarkStart w:id="0" w:name="_GoBack"/>
      <w:bookmarkEnd w:id="0"/>
      <w:r w:rsidRPr="00721032">
        <w:rPr>
          <w:i/>
          <w:color w:val="000000"/>
          <w:sz w:val="20"/>
          <w:szCs w:val="20"/>
        </w:rPr>
        <w:t>Sporządziła: Kamila Wybraniec</w:t>
      </w:r>
    </w:p>
    <w:sectPr w:rsidR="00721032" w:rsidRPr="00721032" w:rsidSect="00646D07">
      <w:headerReference w:type="first" r:id="rId7"/>
      <w:pgSz w:w="11906" w:h="16838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38" w:rsidRDefault="00775F38" w:rsidP="00663E0C">
      <w:r>
        <w:separator/>
      </w:r>
    </w:p>
  </w:endnote>
  <w:endnote w:type="continuationSeparator" w:id="0">
    <w:p w:rsidR="00775F38" w:rsidRDefault="00775F38" w:rsidP="0066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38" w:rsidRDefault="00775F38" w:rsidP="00663E0C">
      <w:r>
        <w:separator/>
      </w:r>
    </w:p>
  </w:footnote>
  <w:footnote w:type="continuationSeparator" w:id="0">
    <w:p w:rsidR="00775F38" w:rsidRDefault="00775F38" w:rsidP="00663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95" w:rsidRDefault="00A434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559C6D" wp14:editId="245EDAD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310" cy="1436370"/>
          <wp:effectExtent l="0" t="0" r="254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F6A"/>
    <w:multiLevelType w:val="multilevel"/>
    <w:tmpl w:val="2C2AB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B5145E"/>
    <w:multiLevelType w:val="hybridMultilevel"/>
    <w:tmpl w:val="1ECE1316"/>
    <w:lvl w:ilvl="0" w:tplc="EED01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BE3191"/>
    <w:multiLevelType w:val="hybridMultilevel"/>
    <w:tmpl w:val="687CFA2A"/>
    <w:lvl w:ilvl="0" w:tplc="EED01F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C6F15"/>
    <w:multiLevelType w:val="multilevel"/>
    <w:tmpl w:val="E5E4F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)"/>
      <w:lvlJc w:val="left"/>
      <w:pPr>
        <w:ind w:left="1021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A91C14"/>
    <w:multiLevelType w:val="multilevel"/>
    <w:tmpl w:val="2C2AB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E9221D6"/>
    <w:multiLevelType w:val="multilevel"/>
    <w:tmpl w:val="E5E4F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)"/>
      <w:lvlJc w:val="left"/>
      <w:pPr>
        <w:ind w:left="1021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3909B0"/>
    <w:multiLevelType w:val="hybridMultilevel"/>
    <w:tmpl w:val="9B9E8DB4"/>
    <w:lvl w:ilvl="0" w:tplc="EED01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9E6F44"/>
    <w:multiLevelType w:val="hybridMultilevel"/>
    <w:tmpl w:val="9F5AB706"/>
    <w:lvl w:ilvl="0" w:tplc="EED01F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CC134A7"/>
    <w:multiLevelType w:val="multilevel"/>
    <w:tmpl w:val="2C2AB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15774BA"/>
    <w:multiLevelType w:val="hybridMultilevel"/>
    <w:tmpl w:val="B2528D24"/>
    <w:lvl w:ilvl="0" w:tplc="FFFAD2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B3E96"/>
    <w:multiLevelType w:val="multilevel"/>
    <w:tmpl w:val="74569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4B80411"/>
    <w:multiLevelType w:val="hybridMultilevel"/>
    <w:tmpl w:val="C1208AC4"/>
    <w:lvl w:ilvl="0" w:tplc="EED01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94"/>
    <w:rsid w:val="00006BA6"/>
    <w:rsid w:val="00130684"/>
    <w:rsid w:val="001421C6"/>
    <w:rsid w:val="001675E1"/>
    <w:rsid w:val="001844C6"/>
    <w:rsid w:val="002F3945"/>
    <w:rsid w:val="00310385"/>
    <w:rsid w:val="0047127E"/>
    <w:rsid w:val="005F30A2"/>
    <w:rsid w:val="00615D96"/>
    <w:rsid w:val="00646D07"/>
    <w:rsid w:val="00663E0C"/>
    <w:rsid w:val="006B152A"/>
    <w:rsid w:val="006B4394"/>
    <w:rsid w:val="00721032"/>
    <w:rsid w:val="00775F38"/>
    <w:rsid w:val="00782704"/>
    <w:rsid w:val="0080116E"/>
    <w:rsid w:val="00873B38"/>
    <w:rsid w:val="008C7900"/>
    <w:rsid w:val="00A43495"/>
    <w:rsid w:val="00AD5D54"/>
    <w:rsid w:val="00B368BC"/>
    <w:rsid w:val="00B534EB"/>
    <w:rsid w:val="00C23953"/>
    <w:rsid w:val="00CB2C5E"/>
    <w:rsid w:val="00D5233D"/>
    <w:rsid w:val="00D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10C5BB-E2A2-4575-BF16-F67B92F8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E0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63E0C"/>
    <w:pPr>
      <w:spacing w:after="12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E0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E0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63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E0C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2F39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Wybraniec</dc:creator>
  <cp:keywords/>
  <dc:description/>
  <cp:lastModifiedBy>Kamila Wybraniec</cp:lastModifiedBy>
  <cp:revision>14</cp:revision>
  <cp:lastPrinted>2022-05-13T08:35:00Z</cp:lastPrinted>
  <dcterms:created xsi:type="dcterms:W3CDTF">2022-05-12T12:49:00Z</dcterms:created>
  <dcterms:modified xsi:type="dcterms:W3CDTF">2022-05-13T08:39:00Z</dcterms:modified>
</cp:coreProperties>
</file>